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7E" w:rsidRDefault="00C32576" w:rsidP="00ED63C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6400800" cy="1428750"/>
            <wp:effectExtent l="19050" t="0" r="0" b="0"/>
            <wp:wrapSquare wrapText="bothSides"/>
            <wp:docPr id="1" name="Picture 1" descr="ban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0C2" w:rsidRDefault="005330C2" w:rsidP="00ED63C0">
      <w:pPr>
        <w:tabs>
          <w:tab w:val="left" w:pos="2055"/>
        </w:tabs>
        <w:jc w:val="both"/>
      </w:pPr>
    </w:p>
    <w:p w:rsidR="00FD0214" w:rsidRDefault="00E66E11" w:rsidP="00FD0214">
      <w:pPr>
        <w:tabs>
          <w:tab w:val="left" w:pos="2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DELEGATE ALLOCATION FOR THE</w:t>
      </w:r>
    </w:p>
    <w:p w:rsidR="00E66E11" w:rsidRPr="002A1E28" w:rsidRDefault="00EA7310" w:rsidP="00FD0214">
      <w:pPr>
        <w:tabs>
          <w:tab w:val="left" w:pos="2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E66E11">
        <w:rPr>
          <w:b/>
          <w:sz w:val="28"/>
          <w:szCs w:val="28"/>
        </w:rPr>
        <w:t xml:space="preserve"> REPUBLICAN PARTY OF TEXAS STATE CONVENTION</w:t>
      </w:r>
    </w:p>
    <w:p w:rsidR="00FD0214" w:rsidRDefault="00FD0214" w:rsidP="00FD0214">
      <w:pPr>
        <w:tabs>
          <w:tab w:val="left" w:pos="2055"/>
        </w:tabs>
        <w:jc w:val="both"/>
      </w:pPr>
    </w:p>
    <w:p w:rsidR="00FD0214" w:rsidRDefault="00FD0214" w:rsidP="00FD0214">
      <w:pPr>
        <w:tabs>
          <w:tab w:val="left" w:pos="2055"/>
        </w:tabs>
        <w:jc w:val="both"/>
      </w:pPr>
    </w:p>
    <w:p w:rsidR="00FD0214" w:rsidRDefault="00EA7310" w:rsidP="00FD0214">
      <w:pPr>
        <w:jc w:val="both"/>
      </w:pPr>
      <w:r>
        <w:t>DATE:</w:t>
      </w:r>
      <w:r>
        <w:tab/>
      </w:r>
      <w:r>
        <w:tab/>
        <w:t>JULY 8, 2015</w:t>
      </w:r>
    </w:p>
    <w:p w:rsidR="00FD0214" w:rsidRDefault="00FD0214" w:rsidP="00FD0214">
      <w:pPr>
        <w:tabs>
          <w:tab w:val="left" w:pos="2055"/>
        </w:tabs>
        <w:jc w:val="both"/>
      </w:pPr>
    </w:p>
    <w:p w:rsidR="00FD0214" w:rsidRDefault="00FD0214" w:rsidP="00FD0214">
      <w:pPr>
        <w:jc w:val="both"/>
      </w:pPr>
      <w:r>
        <w:t>TO:</w:t>
      </w:r>
      <w:r>
        <w:tab/>
      </w:r>
      <w:r>
        <w:tab/>
      </w:r>
      <w:r w:rsidR="00EA7310">
        <w:t>TOM MECHLER</w:t>
      </w:r>
      <w:r>
        <w:t>, Chairman</w:t>
      </w:r>
    </w:p>
    <w:p w:rsidR="00FD0214" w:rsidRDefault="00EA7310" w:rsidP="00FD0214">
      <w:pPr>
        <w:jc w:val="both"/>
      </w:pPr>
      <w:r>
        <w:tab/>
      </w:r>
      <w:r>
        <w:tab/>
        <w:t>BETH CUBRIEL</w:t>
      </w:r>
      <w:r w:rsidR="00FD0214">
        <w:t>, Executive Director</w:t>
      </w:r>
    </w:p>
    <w:p w:rsidR="00FD0214" w:rsidRDefault="00EA7310" w:rsidP="00FD0214">
      <w:pPr>
        <w:jc w:val="both"/>
      </w:pPr>
      <w:r>
        <w:tab/>
      </w:r>
      <w:r>
        <w:tab/>
        <w:t>CASSIE DANIEL</w:t>
      </w:r>
      <w:r w:rsidR="00FD0214">
        <w:t>, Organization Director</w:t>
      </w:r>
    </w:p>
    <w:p w:rsidR="00FD0214" w:rsidRDefault="00FD0214" w:rsidP="00FD0214">
      <w:pPr>
        <w:jc w:val="both"/>
      </w:pPr>
    </w:p>
    <w:p w:rsidR="00FD0214" w:rsidRDefault="00FD0214" w:rsidP="00FD0214">
      <w:pPr>
        <w:jc w:val="both"/>
      </w:pPr>
      <w:r>
        <w:t>FROM:</w:t>
      </w:r>
      <w:r>
        <w:tab/>
        <w:t>DEREK RYAN</w:t>
      </w:r>
    </w:p>
    <w:p w:rsidR="00186075" w:rsidRDefault="00186075" w:rsidP="00FD0214">
      <w:pPr>
        <w:pBdr>
          <w:bottom w:val="single" w:sz="6" w:space="1" w:color="auto"/>
        </w:pBdr>
        <w:tabs>
          <w:tab w:val="left" w:pos="1785"/>
        </w:tabs>
        <w:jc w:val="both"/>
      </w:pPr>
    </w:p>
    <w:p w:rsidR="00E66E11" w:rsidRDefault="00E66E11" w:rsidP="00E66E11">
      <w:pPr>
        <w:tabs>
          <w:tab w:val="left" w:pos="1785"/>
        </w:tabs>
      </w:pPr>
    </w:p>
    <w:p w:rsidR="00E66E11" w:rsidRDefault="00E66E11" w:rsidP="00E66E11">
      <w:pPr>
        <w:tabs>
          <w:tab w:val="left" w:pos="1785"/>
        </w:tabs>
      </w:pPr>
      <w:r>
        <w:t xml:space="preserve">I have completed the </w:t>
      </w:r>
      <w:r w:rsidR="00EA7310">
        <w:t xml:space="preserve">preliminary </w:t>
      </w:r>
      <w:r w:rsidR="009F03FC">
        <w:t>delegate</w:t>
      </w:r>
      <w:r w:rsidR="00EA7310">
        <w:t xml:space="preserve"> counts for the 2016</w:t>
      </w:r>
      <w:r>
        <w:t xml:space="preserve"> Republican Party of Texas State Convention.</w:t>
      </w:r>
      <w:r w:rsidR="00A7266B">
        <w:t xml:space="preserve"> All totals are based on numbers provided by the Texas Legislative Council. </w:t>
      </w:r>
      <w:r>
        <w:t xml:space="preserve">The numbers </w:t>
      </w:r>
      <w:r w:rsidR="00A7266B">
        <w:t xml:space="preserve">and delegate totals </w:t>
      </w:r>
      <w:r>
        <w:t>are included with this memo.</w:t>
      </w:r>
    </w:p>
    <w:p w:rsidR="00AE0166" w:rsidRDefault="00AE0166" w:rsidP="00AE0166">
      <w:pPr>
        <w:tabs>
          <w:tab w:val="left" w:pos="1785"/>
        </w:tabs>
      </w:pPr>
    </w:p>
    <w:p w:rsidR="00AE0166" w:rsidRPr="000C5F1E" w:rsidRDefault="00AE0166" w:rsidP="00AE0166">
      <w:pPr>
        <w:tabs>
          <w:tab w:val="left" w:pos="1785"/>
        </w:tabs>
      </w:pPr>
      <w:r w:rsidRPr="000C5F1E">
        <w:t xml:space="preserve">The </w:t>
      </w:r>
      <w:r w:rsidR="00B3785B" w:rsidRPr="000C5F1E">
        <w:t xml:space="preserve">process </w:t>
      </w:r>
      <w:r w:rsidR="00EA7310" w:rsidRPr="000C5F1E">
        <w:t>for calculating the allocation wa</w:t>
      </w:r>
      <w:r w:rsidR="00B3785B" w:rsidRPr="000C5F1E">
        <w:t>s as follows:</w:t>
      </w:r>
    </w:p>
    <w:p w:rsidR="00AE0166" w:rsidRPr="000C5F1E" w:rsidRDefault="00AE0166" w:rsidP="00AE0166">
      <w:pPr>
        <w:tabs>
          <w:tab w:val="left" w:pos="1785"/>
        </w:tabs>
      </w:pPr>
    </w:p>
    <w:p w:rsidR="00AE0166" w:rsidRPr="000C5F1E" w:rsidRDefault="00CD7E41" w:rsidP="00AE0166">
      <w:pPr>
        <w:pStyle w:val="ListParagraph"/>
        <w:numPr>
          <w:ilvl w:val="0"/>
          <w:numId w:val="6"/>
        </w:numPr>
        <w:tabs>
          <w:tab w:val="left" w:pos="1785"/>
        </w:tabs>
      </w:pPr>
      <w:r w:rsidRPr="000C5F1E">
        <w:t>V</w:t>
      </w:r>
      <w:r w:rsidR="00AE0166" w:rsidRPr="000C5F1E">
        <w:t xml:space="preserve">ote totals for Governor </w:t>
      </w:r>
      <w:r w:rsidR="00EA7310" w:rsidRPr="000C5F1E">
        <w:t>Abbott</w:t>
      </w:r>
      <w:r w:rsidR="00AE0166" w:rsidRPr="000C5F1E">
        <w:t xml:space="preserve"> were totaled by each Senatorial District/Congressional Distr</w:t>
      </w:r>
      <w:r w:rsidRPr="000C5F1E">
        <w:t xml:space="preserve">ict pairing for all </w:t>
      </w:r>
      <w:r w:rsidR="00B3785B" w:rsidRPr="000C5F1E">
        <w:t xml:space="preserve">counties </w:t>
      </w:r>
      <w:r w:rsidR="006D714A" w:rsidRPr="000C5F1E">
        <w:t xml:space="preserve">(COLUMN: </w:t>
      </w:r>
      <w:r w:rsidR="00EA7310" w:rsidRPr="000C5F1E">
        <w:t>ABBOTT</w:t>
      </w:r>
      <w:r w:rsidR="00AE0166" w:rsidRPr="000C5F1E">
        <w:t xml:space="preserve"> VOTES). </w:t>
      </w:r>
    </w:p>
    <w:p w:rsidR="00AE0166" w:rsidRPr="000C5F1E" w:rsidRDefault="00AE0166" w:rsidP="00AE0166">
      <w:pPr>
        <w:pStyle w:val="ListParagraph"/>
        <w:numPr>
          <w:ilvl w:val="0"/>
          <w:numId w:val="6"/>
        </w:numPr>
        <w:tabs>
          <w:tab w:val="left" w:pos="1785"/>
        </w:tabs>
      </w:pPr>
      <w:r w:rsidRPr="000C5F1E">
        <w:t>The number of delegates was calculated based upon the ratio of one delegate for every 300 votes cast</w:t>
      </w:r>
      <w:r w:rsidR="006D714A" w:rsidRPr="000C5F1E">
        <w:t xml:space="preserve"> for </w:t>
      </w:r>
      <w:r w:rsidR="00EA7310" w:rsidRPr="000C5F1E">
        <w:t>Abbott</w:t>
      </w:r>
      <w:r w:rsidR="006D714A" w:rsidRPr="000C5F1E">
        <w:t xml:space="preserve"> (COLUMN: </w:t>
      </w:r>
      <w:r w:rsidRPr="000C5F1E">
        <w:t>DIVIDED BY 300).</w:t>
      </w:r>
    </w:p>
    <w:p w:rsidR="00AE0166" w:rsidRPr="000C5F1E" w:rsidRDefault="00AE0166" w:rsidP="00AE0166">
      <w:pPr>
        <w:pStyle w:val="ListParagraph"/>
        <w:numPr>
          <w:ilvl w:val="0"/>
          <w:numId w:val="6"/>
        </w:numPr>
        <w:tabs>
          <w:tab w:val="left" w:pos="1785"/>
        </w:tabs>
      </w:pPr>
      <w:r w:rsidRPr="000C5F1E">
        <w:t xml:space="preserve">The number from step two was rounded up or down based on major fractions. Also, </w:t>
      </w:r>
      <w:r w:rsidR="00EA7310" w:rsidRPr="000C5F1E">
        <w:t xml:space="preserve">per RPT Rules, </w:t>
      </w:r>
      <w:r w:rsidRPr="000C5F1E">
        <w:t>delegate totals were adjusted to ensure that no county/district had fewer than two delegates (</w:t>
      </w:r>
      <w:r w:rsidR="006D714A" w:rsidRPr="000C5F1E">
        <w:t>COLUMN: ROUNDED INITIAL</w:t>
      </w:r>
      <w:r w:rsidRPr="000C5F1E">
        <w:t xml:space="preserve"> TOTAL).</w:t>
      </w:r>
    </w:p>
    <w:p w:rsidR="00AE0166" w:rsidRPr="000C5F1E" w:rsidRDefault="00AE0166" w:rsidP="00AE0166">
      <w:pPr>
        <w:pStyle w:val="ListParagraph"/>
        <w:numPr>
          <w:ilvl w:val="0"/>
          <w:numId w:val="6"/>
        </w:numPr>
        <w:tabs>
          <w:tab w:val="left" w:pos="1785"/>
        </w:tabs>
      </w:pPr>
      <w:r w:rsidRPr="000C5F1E">
        <w:t>The total statewide number of delegates b</w:t>
      </w:r>
      <w:r w:rsidR="00EA7310" w:rsidRPr="000C5F1E">
        <w:t>ased on the 300:1 ratio (and all delegations having at least two delegates) is 9,368</w:t>
      </w:r>
      <w:r w:rsidR="00FE006C">
        <w:t xml:space="preserve"> which</w:t>
      </w:r>
      <w:r w:rsidRPr="000C5F1E">
        <w:t xml:space="preserve"> exceeds the cap of 9,000 listed in RPT </w:t>
      </w:r>
      <w:r w:rsidR="00EA7310" w:rsidRPr="000C5F1E">
        <w:t>Rule #23A(a)(3) by 321</w:t>
      </w:r>
      <w:r w:rsidRPr="000C5F1E">
        <w:t xml:space="preserve"> delegates.</w:t>
      </w:r>
    </w:p>
    <w:p w:rsidR="00AE0166" w:rsidRPr="000C5F1E" w:rsidRDefault="00AE0166" w:rsidP="00AE0166">
      <w:pPr>
        <w:pStyle w:val="ListParagraph"/>
        <w:numPr>
          <w:ilvl w:val="0"/>
          <w:numId w:val="6"/>
        </w:numPr>
        <w:tabs>
          <w:tab w:val="left" w:pos="1785"/>
        </w:tabs>
      </w:pPr>
      <w:r w:rsidRPr="000C5F1E">
        <w:t xml:space="preserve">In order to reduce the number of delegates, a calculation was made by </w:t>
      </w:r>
      <w:r w:rsidR="00EA7310" w:rsidRPr="000C5F1E">
        <w:t>using the following formula: 368</w:t>
      </w:r>
      <w:r w:rsidRPr="000C5F1E">
        <w:t xml:space="preserve"> x [Rounde</w:t>
      </w:r>
      <w:r w:rsidR="00EA7310" w:rsidRPr="000C5F1E">
        <w:t>d initial delegate total ÷ 9,368</w:t>
      </w:r>
      <w:r w:rsidRPr="000C5F1E">
        <w:t xml:space="preserve">]. This created a number to reduce each county/district’s delegate total proportionately in order to reduce the statewide total of delegates </w:t>
      </w:r>
      <w:r w:rsidR="006D714A" w:rsidRPr="000C5F1E">
        <w:t>down to 9,000 (COLUMN: REDUCED</w:t>
      </w:r>
      <w:r w:rsidRPr="000C5F1E">
        <w:t xml:space="preserve"> ADJUSTMENT).</w:t>
      </w:r>
    </w:p>
    <w:p w:rsidR="00AE0166" w:rsidRPr="000C5F1E" w:rsidRDefault="00AE0166" w:rsidP="00AE0166">
      <w:pPr>
        <w:pStyle w:val="ListParagraph"/>
        <w:numPr>
          <w:ilvl w:val="0"/>
          <w:numId w:val="6"/>
        </w:numPr>
        <w:tabs>
          <w:tab w:val="left" w:pos="1785"/>
        </w:tabs>
      </w:pPr>
      <w:r w:rsidRPr="000C5F1E">
        <w:t>The reduction listed in step five was subtracted from the total in step two (COLUMN: ADJUSTED DELEGATE TOTAL).</w:t>
      </w:r>
    </w:p>
    <w:p w:rsidR="00AE0166" w:rsidRPr="000C5F1E" w:rsidRDefault="00AE0166" w:rsidP="00E66E11">
      <w:pPr>
        <w:pStyle w:val="ListParagraph"/>
        <w:numPr>
          <w:ilvl w:val="0"/>
          <w:numId w:val="6"/>
        </w:numPr>
        <w:tabs>
          <w:tab w:val="left" w:pos="1785"/>
        </w:tabs>
      </w:pPr>
      <w:r w:rsidRPr="000C5F1E">
        <w:lastRenderedPageBreak/>
        <w:t xml:space="preserve">The adjusted delegate total was then rounded up or down based on major fractions. Also, delegate totals were adjusted to ensure that no county/district had fewer than two delegates giving us a final number of delegates (COLUMN: </w:t>
      </w:r>
      <w:r w:rsidR="00EA7310" w:rsidRPr="000C5F1E">
        <w:t>ROUNDED ADJUSTED TOTAL</w:t>
      </w:r>
      <w:r w:rsidRPr="000C5F1E">
        <w:t>).</w:t>
      </w:r>
    </w:p>
    <w:p w:rsidR="00EA7310" w:rsidRPr="000C5F1E" w:rsidRDefault="00EA7310" w:rsidP="000C5F1E">
      <w:pPr>
        <w:pStyle w:val="ListParagraph"/>
        <w:numPr>
          <w:ilvl w:val="0"/>
          <w:numId w:val="6"/>
        </w:numPr>
        <w:tabs>
          <w:tab w:val="left" w:pos="1785"/>
        </w:tabs>
      </w:pPr>
      <w:r w:rsidRPr="000C5F1E">
        <w:t>Because of rounding, this brought the statewide total to 9,011 which is still above the total allowed by RPT Rules, so it was necessary to adjust the numbers further.</w:t>
      </w:r>
      <w:r w:rsidR="000C5F1E">
        <w:t xml:space="preserve"> </w:t>
      </w:r>
      <w:r w:rsidRPr="000C5F1E">
        <w:t>In order to reduce the number of delegates, a calculation was made by using the following formula: 11 x [</w:t>
      </w:r>
      <w:r w:rsidR="000C5F1E">
        <w:t>Adjusted</w:t>
      </w:r>
      <w:r w:rsidRPr="000C5F1E">
        <w:t xml:space="preserve"> delegate total ÷ 9,011]. This created a number to reduce each county/district’s delegate total proportionately in order to reduce the statewide total of delegates down to 9,000 (COLUMN: REDUCED ADJUSTMENT 2).</w:t>
      </w:r>
    </w:p>
    <w:p w:rsidR="00EA7310" w:rsidRPr="000C5F1E" w:rsidRDefault="00EA7310" w:rsidP="00EA7310">
      <w:pPr>
        <w:pStyle w:val="ListParagraph"/>
        <w:numPr>
          <w:ilvl w:val="0"/>
          <w:numId w:val="6"/>
        </w:numPr>
        <w:tabs>
          <w:tab w:val="left" w:pos="1785"/>
        </w:tabs>
      </w:pPr>
      <w:r w:rsidRPr="000C5F1E">
        <w:t>The reduction listed</w:t>
      </w:r>
      <w:r w:rsidR="000C5F1E">
        <w:t xml:space="preserve"> in step eight</w:t>
      </w:r>
      <w:r w:rsidRPr="000C5F1E">
        <w:t xml:space="preserve"> was subtracted from the total in step six (COLUMN: ADJUSTED DELEGATE TOTAL 2).</w:t>
      </w:r>
    </w:p>
    <w:p w:rsidR="00EA7310" w:rsidRPr="000C5F1E" w:rsidRDefault="00EA7310" w:rsidP="00E66E11">
      <w:pPr>
        <w:pStyle w:val="ListParagraph"/>
        <w:numPr>
          <w:ilvl w:val="0"/>
          <w:numId w:val="6"/>
        </w:numPr>
        <w:tabs>
          <w:tab w:val="left" w:pos="1785"/>
        </w:tabs>
      </w:pPr>
      <w:r w:rsidRPr="000C5F1E">
        <w:t>The adjusted delegate total was then rounded up or down based on major fractions. Also, delegate totals were adjusted to ensure that no county/district had fewer than two delegates giving us a final number of delegates (COLUMN: FINAL DELEGATE ALLOCATION).</w:t>
      </w:r>
    </w:p>
    <w:p w:rsidR="00864691" w:rsidRDefault="00864691" w:rsidP="00864691">
      <w:pPr>
        <w:tabs>
          <w:tab w:val="left" w:pos="1785"/>
        </w:tabs>
      </w:pPr>
    </w:p>
    <w:p w:rsidR="00AE0166" w:rsidRDefault="00864691" w:rsidP="00E66E11">
      <w:pPr>
        <w:tabs>
          <w:tab w:val="left" w:pos="1785"/>
        </w:tabs>
      </w:pPr>
      <w:r>
        <w:t xml:space="preserve">After making the above-listed calculations, the statewide </w:t>
      </w:r>
      <w:r w:rsidR="006D714A">
        <w:t>total of delegates becomes 8,994</w:t>
      </w:r>
      <w:r>
        <w:t>.</w:t>
      </w:r>
      <w:r w:rsidR="00EF39B7">
        <w:t xml:space="preserve"> The totals by</w:t>
      </w:r>
      <w:r w:rsidR="006D714A">
        <w:t xml:space="preserve"> district break down as follows:</w:t>
      </w:r>
    </w:p>
    <w:p w:rsidR="00EA078E" w:rsidRDefault="00EA078E" w:rsidP="00E66E11">
      <w:pPr>
        <w:tabs>
          <w:tab w:val="left" w:pos="1785"/>
        </w:tabs>
      </w:pPr>
    </w:p>
    <w:p w:rsidR="00EA078E" w:rsidRDefault="00EA078E" w:rsidP="00E66E11">
      <w:pPr>
        <w:tabs>
          <w:tab w:val="left" w:pos="1785"/>
        </w:tabs>
      </w:pPr>
    </w:p>
    <w:p w:rsidR="00313E97" w:rsidRDefault="00313E97">
      <w:pPr>
        <w:rPr>
          <w:b/>
        </w:rPr>
      </w:pPr>
      <w:r>
        <w:rPr>
          <w:b/>
        </w:rPr>
        <w:br w:type="page"/>
      </w:r>
    </w:p>
    <w:p w:rsidR="00AE0166" w:rsidRDefault="00AE0166" w:rsidP="00EF39B7">
      <w:pPr>
        <w:tabs>
          <w:tab w:val="left" w:pos="1785"/>
        </w:tabs>
        <w:jc w:val="center"/>
        <w:rPr>
          <w:b/>
        </w:rPr>
      </w:pPr>
      <w:r w:rsidRPr="00CF471E">
        <w:rPr>
          <w:b/>
        </w:rPr>
        <w:t>Totals by Senate District</w:t>
      </w:r>
    </w:p>
    <w:p w:rsidR="00313E97" w:rsidRPr="00CF471E" w:rsidRDefault="00313E97" w:rsidP="00EF39B7">
      <w:pPr>
        <w:tabs>
          <w:tab w:val="left" w:pos="1785"/>
        </w:tabs>
        <w:jc w:val="center"/>
        <w:rPr>
          <w:b/>
        </w:rPr>
      </w:pPr>
    </w:p>
    <w:tbl>
      <w:tblPr>
        <w:tblW w:w="4350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450"/>
        <w:gridCol w:w="1450"/>
      </w:tblGrid>
      <w:tr w:rsidR="00313E97" w:rsidTr="00313E97">
        <w:trPr>
          <w:trHeight w:val="300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SD-1: 438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SD-11: 344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SD-21: 177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SD-2: 306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SD-12: 377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SD-22: 369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SD-3: 442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SD-13: 63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SD-23: 82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SD-4: 421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SD-14: 243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SD-24: 397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SD-5: 364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SD-15: 163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SD-25: 488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SD-6: 77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SD-16: 313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SD-26: 142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SD-7: 380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SD-17: 350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SD-27: 100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SD-8: 353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SD-18: 412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SD-28: 360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SD-9: 275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SD-19: 194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SD-29: 104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SD-10: 310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SD-20: 162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SD-30: 438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SD-31: 350</w:t>
            </w:r>
          </w:p>
        </w:tc>
      </w:tr>
    </w:tbl>
    <w:p w:rsidR="00AE0166" w:rsidRDefault="00AE0166" w:rsidP="00E66E11">
      <w:pPr>
        <w:tabs>
          <w:tab w:val="left" w:pos="1785"/>
        </w:tabs>
      </w:pPr>
    </w:p>
    <w:p w:rsidR="00313E97" w:rsidRDefault="00313E97" w:rsidP="00E66E11">
      <w:pPr>
        <w:tabs>
          <w:tab w:val="left" w:pos="1785"/>
        </w:tabs>
      </w:pPr>
    </w:p>
    <w:p w:rsidR="00313E97" w:rsidRDefault="00313E97" w:rsidP="00E66E11">
      <w:pPr>
        <w:tabs>
          <w:tab w:val="left" w:pos="1785"/>
        </w:tabs>
      </w:pPr>
    </w:p>
    <w:p w:rsidR="00EA078E" w:rsidRDefault="00EA078E" w:rsidP="00E66E11">
      <w:pPr>
        <w:tabs>
          <w:tab w:val="left" w:pos="1785"/>
        </w:tabs>
      </w:pPr>
    </w:p>
    <w:p w:rsidR="003F7E22" w:rsidRDefault="00AE0166" w:rsidP="00EF39B7">
      <w:pPr>
        <w:tabs>
          <w:tab w:val="left" w:pos="1785"/>
        </w:tabs>
        <w:jc w:val="center"/>
        <w:rPr>
          <w:b/>
        </w:rPr>
      </w:pPr>
      <w:r w:rsidRPr="00CF471E">
        <w:rPr>
          <w:b/>
        </w:rPr>
        <w:t>Totals by Congressional District</w:t>
      </w:r>
    </w:p>
    <w:p w:rsidR="00313E97" w:rsidRPr="00CF471E" w:rsidRDefault="00313E97" w:rsidP="00EF39B7">
      <w:pPr>
        <w:tabs>
          <w:tab w:val="left" w:pos="1785"/>
        </w:tabs>
        <w:jc w:val="center"/>
        <w:rPr>
          <w:b/>
        </w:rPr>
      </w:pPr>
    </w:p>
    <w:tbl>
      <w:tblPr>
        <w:tblW w:w="4410" w:type="dxa"/>
        <w:jc w:val="center"/>
        <w:tblLayout w:type="fixed"/>
        <w:tblLook w:val="04A0" w:firstRow="1" w:lastRow="0" w:firstColumn="1" w:lastColumn="0" w:noHBand="0" w:noVBand="1"/>
      </w:tblPr>
      <w:tblGrid>
        <w:gridCol w:w="1470"/>
        <w:gridCol w:w="1470"/>
        <w:gridCol w:w="1470"/>
      </w:tblGrid>
      <w:tr w:rsidR="00313E97" w:rsidTr="00313E97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CD-1: 367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CD-13: 360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CD-25: 339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CD-2: 304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CD-14: 283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CD-26: 346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CD-3: 330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CD-15: 136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CD-27: 270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CD-4: 363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CD-16: 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CD-28: 138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CD-5: 271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CD-17: 271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CD-29: 66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CD-6: 283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CD-18: 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CD-30: 82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CD-7: 278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CD-19: 309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CD-31: 286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CD-8: 385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CD-20: 143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CD-32: 288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CD-9: 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CD-21: 401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CD-33: 62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CD-10: 334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CD-22: 313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CD-34: 122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CD-11: 343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CD-23: 218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CD-35: 112</w:t>
            </w:r>
          </w:p>
        </w:tc>
      </w:tr>
      <w:tr w:rsidR="00313E97" w:rsidTr="00313E97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CD-12: 333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CD-24: 288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7" w:rsidRDefault="00313E97" w:rsidP="00313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CD-36: 322</w:t>
            </w:r>
          </w:p>
        </w:tc>
      </w:tr>
    </w:tbl>
    <w:p w:rsidR="00EA078E" w:rsidRDefault="00EA078E" w:rsidP="00EA078E">
      <w:pPr>
        <w:tabs>
          <w:tab w:val="left" w:pos="1785"/>
        </w:tabs>
      </w:pPr>
    </w:p>
    <w:sectPr w:rsidR="00EA078E" w:rsidSect="00EA07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9F" w:rsidRDefault="00E44E9F">
      <w:r>
        <w:separator/>
      </w:r>
    </w:p>
  </w:endnote>
  <w:endnote w:type="continuationSeparator" w:id="0">
    <w:p w:rsidR="00E44E9F" w:rsidRDefault="00E4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A" w:rsidRDefault="00FA1F9A" w:rsidP="00FA1F9A">
    <w:pPr>
      <w:pStyle w:val="Footer"/>
      <w:jc w:val="center"/>
    </w:pPr>
    <w:r>
      <w:t>P.O. Box 202675 • Austin, TX 78720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9F" w:rsidRDefault="00E44E9F">
      <w:r>
        <w:separator/>
      </w:r>
    </w:p>
  </w:footnote>
  <w:footnote w:type="continuationSeparator" w:id="0">
    <w:p w:rsidR="00E44E9F" w:rsidRDefault="00E4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6E"/>
    <w:multiLevelType w:val="hybridMultilevel"/>
    <w:tmpl w:val="F702C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4B91"/>
    <w:multiLevelType w:val="hybridMultilevel"/>
    <w:tmpl w:val="5ECAE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D1918"/>
    <w:multiLevelType w:val="hybridMultilevel"/>
    <w:tmpl w:val="99525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24D0"/>
    <w:multiLevelType w:val="hybridMultilevel"/>
    <w:tmpl w:val="CD34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17C07"/>
    <w:multiLevelType w:val="hybridMultilevel"/>
    <w:tmpl w:val="C6AAF2E4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5" w15:restartNumberingAfterBreak="0">
    <w:nsid w:val="590C5DEA"/>
    <w:multiLevelType w:val="hybridMultilevel"/>
    <w:tmpl w:val="34587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88"/>
    <w:rsid w:val="00024F98"/>
    <w:rsid w:val="00025E1A"/>
    <w:rsid w:val="00051186"/>
    <w:rsid w:val="000729E2"/>
    <w:rsid w:val="0008409D"/>
    <w:rsid w:val="0009157D"/>
    <w:rsid w:val="000B5D57"/>
    <w:rsid w:val="000C5F1E"/>
    <w:rsid w:val="000F332F"/>
    <w:rsid w:val="00102F55"/>
    <w:rsid w:val="00186075"/>
    <w:rsid w:val="001B4B3D"/>
    <w:rsid w:val="001D1572"/>
    <w:rsid w:val="00237E3E"/>
    <w:rsid w:val="002B66F1"/>
    <w:rsid w:val="002B6B78"/>
    <w:rsid w:val="002C5D48"/>
    <w:rsid w:val="002E5259"/>
    <w:rsid w:val="00313E97"/>
    <w:rsid w:val="0039397A"/>
    <w:rsid w:val="003A3A06"/>
    <w:rsid w:val="003A408D"/>
    <w:rsid w:val="003F7E22"/>
    <w:rsid w:val="004063AE"/>
    <w:rsid w:val="0041156D"/>
    <w:rsid w:val="00415A30"/>
    <w:rsid w:val="00421DF2"/>
    <w:rsid w:val="004327DB"/>
    <w:rsid w:val="004819EE"/>
    <w:rsid w:val="00486ED8"/>
    <w:rsid w:val="004E148E"/>
    <w:rsid w:val="00501F97"/>
    <w:rsid w:val="005330C2"/>
    <w:rsid w:val="00567DC1"/>
    <w:rsid w:val="00596FBA"/>
    <w:rsid w:val="005E1B45"/>
    <w:rsid w:val="005F3C07"/>
    <w:rsid w:val="0060326E"/>
    <w:rsid w:val="006538B8"/>
    <w:rsid w:val="006D714A"/>
    <w:rsid w:val="006F148A"/>
    <w:rsid w:val="00733DE8"/>
    <w:rsid w:val="00767041"/>
    <w:rsid w:val="00837981"/>
    <w:rsid w:val="00856C7E"/>
    <w:rsid w:val="00864691"/>
    <w:rsid w:val="00881C9B"/>
    <w:rsid w:val="008B6F0E"/>
    <w:rsid w:val="008D0746"/>
    <w:rsid w:val="009033F3"/>
    <w:rsid w:val="009469F7"/>
    <w:rsid w:val="0095725D"/>
    <w:rsid w:val="0096349E"/>
    <w:rsid w:val="009668B5"/>
    <w:rsid w:val="009669A8"/>
    <w:rsid w:val="0097356A"/>
    <w:rsid w:val="00986F9B"/>
    <w:rsid w:val="009D1876"/>
    <w:rsid w:val="009F03FC"/>
    <w:rsid w:val="00A45865"/>
    <w:rsid w:val="00A6377F"/>
    <w:rsid w:val="00A7266B"/>
    <w:rsid w:val="00A7627C"/>
    <w:rsid w:val="00A81CBC"/>
    <w:rsid w:val="00A84C9B"/>
    <w:rsid w:val="00AC16F1"/>
    <w:rsid w:val="00AE0166"/>
    <w:rsid w:val="00AE4888"/>
    <w:rsid w:val="00B3785B"/>
    <w:rsid w:val="00B409DA"/>
    <w:rsid w:val="00B92F5A"/>
    <w:rsid w:val="00BA24FB"/>
    <w:rsid w:val="00BD2888"/>
    <w:rsid w:val="00C03F32"/>
    <w:rsid w:val="00C240BF"/>
    <w:rsid w:val="00C32576"/>
    <w:rsid w:val="00C74210"/>
    <w:rsid w:val="00CD7E41"/>
    <w:rsid w:val="00CE3A0E"/>
    <w:rsid w:val="00CF471E"/>
    <w:rsid w:val="00D261EF"/>
    <w:rsid w:val="00D635DA"/>
    <w:rsid w:val="00D720A6"/>
    <w:rsid w:val="00D7343D"/>
    <w:rsid w:val="00D87EB2"/>
    <w:rsid w:val="00DD7A57"/>
    <w:rsid w:val="00E02D16"/>
    <w:rsid w:val="00E20F3B"/>
    <w:rsid w:val="00E358D0"/>
    <w:rsid w:val="00E44E9F"/>
    <w:rsid w:val="00E52224"/>
    <w:rsid w:val="00E66E11"/>
    <w:rsid w:val="00EA078E"/>
    <w:rsid w:val="00EA611A"/>
    <w:rsid w:val="00EA7310"/>
    <w:rsid w:val="00EB0B8B"/>
    <w:rsid w:val="00ED1B24"/>
    <w:rsid w:val="00ED63C0"/>
    <w:rsid w:val="00EE2108"/>
    <w:rsid w:val="00EF39B7"/>
    <w:rsid w:val="00EF5291"/>
    <w:rsid w:val="00F224D1"/>
    <w:rsid w:val="00FA1F9A"/>
    <w:rsid w:val="00FD0214"/>
    <w:rsid w:val="00FE006C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E6341E-C7EF-4DB3-B0F7-D0F41342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5291"/>
    <w:rPr>
      <w:color w:val="0000FF"/>
      <w:u w:val="single"/>
    </w:rPr>
  </w:style>
  <w:style w:type="table" w:styleId="TableGrid">
    <w:name w:val="Table Grid"/>
    <w:basedOn w:val="TableNormal"/>
    <w:rsid w:val="00B4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3D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D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3DE8"/>
  </w:style>
  <w:style w:type="paragraph" w:styleId="BalloonText">
    <w:name w:val="Balloon Text"/>
    <w:basedOn w:val="Normal"/>
    <w:link w:val="BalloonTextChar"/>
    <w:rsid w:val="00533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6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EA078E"/>
    <w:rPr>
      <w:color w:val="800080"/>
      <w:u w:val="single"/>
    </w:rPr>
  </w:style>
  <w:style w:type="paragraph" w:customStyle="1" w:styleId="xl63">
    <w:name w:val="xl63"/>
    <w:basedOn w:val="Normal"/>
    <w:rsid w:val="00EA078E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4">
    <w:name w:val="xl64"/>
    <w:basedOn w:val="Normal"/>
    <w:rsid w:val="00EA078E"/>
    <w:pPr>
      <w:spacing w:before="100" w:beforeAutospacing="1" w:after="100" w:afterAutospacing="1"/>
    </w:pPr>
    <w:rPr>
      <w:rFonts w:ascii="MS Sans Serif" w:hAnsi="MS Sans Serif"/>
      <w:b/>
      <w:bCs/>
      <w:u w:val="single"/>
    </w:rPr>
  </w:style>
  <w:style w:type="paragraph" w:customStyle="1" w:styleId="xl65">
    <w:name w:val="xl65"/>
    <w:basedOn w:val="Normal"/>
    <w:rsid w:val="00EA078E"/>
    <w:pPr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66">
    <w:name w:val="xl66"/>
    <w:basedOn w:val="Normal"/>
    <w:rsid w:val="00EA078E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yan\Documen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5</Pages>
  <Words>611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Ryan Data &amp; Research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dryan</dc:creator>
  <cp:lastModifiedBy>Cassie Daniel</cp:lastModifiedBy>
  <cp:revision>2</cp:revision>
  <cp:lastPrinted>2010-03-12T03:02:00Z</cp:lastPrinted>
  <dcterms:created xsi:type="dcterms:W3CDTF">2015-07-16T23:48:00Z</dcterms:created>
  <dcterms:modified xsi:type="dcterms:W3CDTF">2015-07-16T23:48:00Z</dcterms:modified>
</cp:coreProperties>
</file>